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4DEF" w14:textId="7AFF87A2" w:rsidR="005F763D" w:rsidRPr="000502AE" w:rsidRDefault="005F763D" w:rsidP="00314A9A">
      <w:pPr>
        <w:pStyle w:val="NoSpacing"/>
        <w:jc w:val="both"/>
        <w:rPr>
          <w:b/>
          <w:bCs/>
          <w:sz w:val="34"/>
          <w:szCs w:val="34"/>
        </w:rPr>
      </w:pPr>
      <w:r w:rsidRPr="000502AE">
        <w:rPr>
          <w:b/>
          <w:bCs/>
          <w:sz w:val="34"/>
          <w:szCs w:val="34"/>
        </w:rPr>
        <w:t xml:space="preserve">Jak podreperować portfel zadłużonego emeryta? </w:t>
      </w:r>
    </w:p>
    <w:p w14:paraId="2935B92C" w14:textId="77777777" w:rsidR="005C69E4" w:rsidRPr="0065196B" w:rsidRDefault="005C69E4" w:rsidP="00314A9A">
      <w:pPr>
        <w:pStyle w:val="NoSpacing"/>
        <w:jc w:val="both"/>
        <w:rPr>
          <w:b/>
          <w:bCs/>
        </w:rPr>
      </w:pPr>
    </w:p>
    <w:p w14:paraId="3DB3ACE1" w14:textId="2B9FB1D2" w:rsidR="00314A9A" w:rsidRPr="001D2AFE" w:rsidRDefault="001F7D92" w:rsidP="000808F3">
      <w:pPr>
        <w:pStyle w:val="NoSpacing"/>
        <w:numPr>
          <w:ilvl w:val="0"/>
          <w:numId w:val="1"/>
        </w:numPr>
        <w:jc w:val="both"/>
        <w:rPr>
          <w:rFonts w:eastAsia="Times New Roman"/>
        </w:rPr>
      </w:pPr>
      <w:r w:rsidRPr="001D2AFE">
        <w:rPr>
          <w:rFonts w:eastAsia="Times New Roman"/>
        </w:rPr>
        <w:t xml:space="preserve">Waloryzacja, zmiany podatkowe i decyzje o wypłacie 13 i 14 emerytury, przynoszą </w:t>
      </w:r>
      <w:r w:rsidR="00314A9A" w:rsidRPr="001D2AFE">
        <w:rPr>
          <w:rFonts w:eastAsia="Times New Roman"/>
        </w:rPr>
        <w:t>wyższe wpływy na konta emerytów. Jednak inflacja</w:t>
      </w:r>
      <w:r w:rsidRPr="001D2AFE">
        <w:rPr>
          <w:rFonts w:eastAsia="Times New Roman"/>
        </w:rPr>
        <w:t xml:space="preserve"> na poziomie już 15,5%</w:t>
      </w:r>
      <w:r w:rsidR="00314A9A" w:rsidRPr="001D2AFE">
        <w:rPr>
          <w:rFonts w:eastAsia="Times New Roman"/>
        </w:rPr>
        <w:t xml:space="preserve"> sprawia, że więcej też z </w:t>
      </w:r>
      <w:r w:rsidRPr="001D2AFE">
        <w:rPr>
          <w:rFonts w:eastAsia="Times New Roman"/>
        </w:rPr>
        <w:t>nich</w:t>
      </w:r>
      <w:r w:rsidR="00314A9A" w:rsidRPr="001D2AFE">
        <w:rPr>
          <w:rFonts w:eastAsia="Times New Roman"/>
        </w:rPr>
        <w:t xml:space="preserve"> wypływa</w:t>
      </w:r>
      <w:r w:rsidR="001A7C58" w:rsidRPr="001D2AFE">
        <w:rPr>
          <w:rFonts w:eastAsia="Times New Roman"/>
        </w:rPr>
        <w:t>.</w:t>
      </w:r>
    </w:p>
    <w:p w14:paraId="19C28FFF" w14:textId="448C8E77" w:rsidR="001A7C58" w:rsidRPr="0065196B" w:rsidRDefault="001A7C58" w:rsidP="00314A9A">
      <w:pPr>
        <w:pStyle w:val="NoSpacing"/>
        <w:numPr>
          <w:ilvl w:val="0"/>
          <w:numId w:val="1"/>
        </w:numPr>
        <w:jc w:val="both"/>
        <w:rPr>
          <w:rFonts w:eastAsia="Times New Roman"/>
        </w:rPr>
      </w:pPr>
      <w:r w:rsidRPr="0065196B">
        <w:rPr>
          <w:rFonts w:eastAsia="Times New Roman"/>
        </w:rPr>
        <w:t>Słabiej uposażeni emeryci mogą ubiegać się o dodatki i dopłaty do czynszu czy energii</w:t>
      </w:r>
    </w:p>
    <w:p w14:paraId="30FC069C" w14:textId="401F1580" w:rsidR="00314A9A" w:rsidRDefault="00314A9A" w:rsidP="00314A9A">
      <w:pPr>
        <w:pStyle w:val="NoSpacing"/>
        <w:numPr>
          <w:ilvl w:val="0"/>
          <w:numId w:val="1"/>
        </w:numPr>
        <w:jc w:val="both"/>
        <w:rPr>
          <w:rFonts w:eastAsia="Times New Roman"/>
        </w:rPr>
      </w:pPr>
      <w:r w:rsidRPr="0065196B">
        <w:rPr>
          <w:rFonts w:eastAsia="Times New Roman"/>
        </w:rPr>
        <w:t>Z danych ERIF B</w:t>
      </w:r>
      <w:r w:rsidR="001F7D92">
        <w:rPr>
          <w:rFonts w:eastAsia="Times New Roman"/>
        </w:rPr>
        <w:t>iuro Informacji Gospodarczej</w:t>
      </w:r>
      <w:r w:rsidRPr="0065196B">
        <w:rPr>
          <w:rFonts w:eastAsia="Times New Roman"/>
        </w:rPr>
        <w:t xml:space="preserve"> wynika, że przeciętny emeryt jest zadłużony na prawie 12,5 tys. </w:t>
      </w:r>
      <w:r w:rsidR="00527F02" w:rsidRPr="0065196B">
        <w:rPr>
          <w:rFonts w:eastAsia="Times New Roman"/>
        </w:rPr>
        <w:t>z</w:t>
      </w:r>
      <w:r w:rsidRPr="0065196B">
        <w:rPr>
          <w:rFonts w:eastAsia="Times New Roman"/>
        </w:rPr>
        <w:t>ł</w:t>
      </w:r>
    </w:p>
    <w:p w14:paraId="1FD99D94" w14:textId="430F8944" w:rsidR="001D2AFE" w:rsidRPr="001D2AFE" w:rsidRDefault="001D2AFE" w:rsidP="00314A9A">
      <w:pPr>
        <w:pStyle w:val="NoSpacing"/>
        <w:numPr>
          <w:ilvl w:val="0"/>
          <w:numId w:val="1"/>
        </w:numPr>
        <w:jc w:val="both"/>
        <w:rPr>
          <w:rFonts w:eastAsia="Times New Roman"/>
        </w:rPr>
      </w:pPr>
      <w:r>
        <w:t>S</w:t>
      </w:r>
      <w:r>
        <w:t>truktura zobowiązań osób w wieku powyżej 65 roku życia różni się w zależności od miejsca zamieszkania</w:t>
      </w:r>
      <w:r>
        <w:t xml:space="preserve">. Najmniejszy odsetek wpisów negatywnych dotyczących pożyczek dotyczy mieszkańców województwa podlaskiego (42%), a największy śląskiego (52%). </w:t>
      </w:r>
    </w:p>
    <w:p w14:paraId="30CA0740" w14:textId="1F69F705" w:rsidR="001D2AFE" w:rsidRPr="001D2AFE" w:rsidRDefault="001D2AFE" w:rsidP="001D2AFE">
      <w:pPr>
        <w:pStyle w:val="NoSpacing"/>
        <w:numPr>
          <w:ilvl w:val="0"/>
          <w:numId w:val="1"/>
        </w:numPr>
        <w:jc w:val="both"/>
        <w:rPr>
          <w:rFonts w:eastAsia="Times New Roman"/>
        </w:rPr>
      </w:pPr>
      <w:r>
        <w:t>N</w:t>
      </w:r>
      <w:r>
        <w:t>ajmniejszy odsetek wpisów negatywnych z branży bankowej jest w województwie podkarpackim (19%), a największy (24%) w województwach: łódzkim, śląskim i świętokrzyskim.</w:t>
      </w:r>
    </w:p>
    <w:p w14:paraId="74EB6BCE" w14:textId="77777777" w:rsidR="0065196B" w:rsidRPr="0065196B" w:rsidRDefault="0065196B" w:rsidP="0065196B">
      <w:pPr>
        <w:pStyle w:val="NoSpacing"/>
        <w:jc w:val="both"/>
        <w:rPr>
          <w:rFonts w:eastAsia="Times New Roman"/>
        </w:rPr>
      </w:pPr>
    </w:p>
    <w:p w14:paraId="19B2F875" w14:textId="78683E52" w:rsidR="001749BB" w:rsidRDefault="006B097C" w:rsidP="00203D93">
      <w:pPr>
        <w:jc w:val="both"/>
      </w:pPr>
      <w:r w:rsidRPr="0065196B">
        <w:t>Już 25 si</w:t>
      </w:r>
      <w:r w:rsidR="00FE58BA" w:rsidRPr="0065196B">
        <w:t xml:space="preserve">erpnia do pierwszych grup emerytów trafią tzw. 14 emerytury. To </w:t>
      </w:r>
      <w:r w:rsidR="00731211" w:rsidRPr="0065196B">
        <w:rPr>
          <w:rStyle w:val="Strong"/>
          <w:b w:val="0"/>
          <w:bCs w:val="0"/>
        </w:rPr>
        <w:t>1338,44 zł brutto</w:t>
      </w:r>
      <w:r w:rsidR="0065196B" w:rsidRPr="0065196B">
        <w:t>.</w:t>
      </w:r>
      <w:r w:rsidR="00FE58BA" w:rsidRPr="0065196B">
        <w:t xml:space="preserve"> Taką </w:t>
      </w:r>
      <w:r w:rsidR="00FE58BA" w:rsidRPr="00BB3F11">
        <w:t xml:space="preserve">kwotę dostaną jednak tylko ci, których emerytura nie przekracza 2,9 tys. zł brutto. </w:t>
      </w:r>
      <w:r w:rsidR="00731211" w:rsidRPr="00BB3F11">
        <w:t>Po przekroczeniu tego progu „czternastka” będzie pomniejszana wg. zasady złotówka złotówkę. Dodatkowej emerytury nie dostaną ci, którzy mają świadczenie przekraczające 4</w:t>
      </w:r>
      <w:r w:rsidR="007B253D">
        <w:t xml:space="preserve"> </w:t>
      </w:r>
      <w:r w:rsidR="00731211" w:rsidRPr="00BB3F11">
        <w:t>188,44 zł brutto.</w:t>
      </w:r>
      <w:r w:rsidR="001749BB">
        <w:t xml:space="preserve"> </w:t>
      </w:r>
      <w:r w:rsidR="00156D81">
        <w:t>Z kolei w</w:t>
      </w:r>
      <w:r w:rsidR="001749BB">
        <w:t xml:space="preserve"> lipcu weszło w życie obniżenie </w:t>
      </w:r>
      <w:r w:rsidR="00203D93">
        <w:t>stawki podatku dochodowego z 17% do 12%. Zmiana dotyczy przychodów uzyskanych od 1 stycznia tego roku</w:t>
      </w:r>
      <w:r w:rsidR="00637B69">
        <w:t>.</w:t>
      </w:r>
      <w:r w:rsidR="00203D93">
        <w:t xml:space="preserve"> Odczu</w:t>
      </w:r>
      <w:r w:rsidR="00156D81">
        <w:t>li to</w:t>
      </w:r>
      <w:r w:rsidR="00203D93">
        <w:t xml:space="preserve"> jednak tylko </w:t>
      </w:r>
      <w:r w:rsidR="00D0005A">
        <w:t xml:space="preserve">ci </w:t>
      </w:r>
      <w:r w:rsidR="00203D93">
        <w:t>lepiej uposażeni,</w:t>
      </w:r>
      <w:r w:rsidR="00156D81">
        <w:t xml:space="preserve"> pobierający między 2,5 a 9,5 tys. zł brutto,</w:t>
      </w:r>
      <w:r w:rsidR="00203D93">
        <w:t xml:space="preserve"> gdyż przychody do 30 tys. zł są już zwolnione z podatku.</w:t>
      </w:r>
      <w:r w:rsidR="00156D81" w:rsidRPr="00BB3F11">
        <w:t xml:space="preserve"> Wcześniej kwietniu, na konta emerytów trafiła</w:t>
      </w:r>
      <w:r w:rsidR="00F05080">
        <w:t xml:space="preserve"> tzw. </w:t>
      </w:r>
      <w:r w:rsidR="00156D81" w:rsidRPr="00BB3F11">
        <w:t>trzynasta emerytura w wysokości 1</w:t>
      </w:r>
      <w:r w:rsidR="007B253D">
        <w:t xml:space="preserve"> </w:t>
      </w:r>
      <w:r w:rsidR="00156D81" w:rsidRPr="00BB3F11">
        <w:t>338,44 zł brutto.</w:t>
      </w:r>
      <w:r w:rsidR="00156D81" w:rsidRPr="00156D81">
        <w:t xml:space="preserve"> </w:t>
      </w:r>
      <w:r w:rsidR="005C69E4">
        <w:t>W</w:t>
      </w:r>
      <w:r w:rsidR="00156D81" w:rsidRPr="00BB3F11">
        <w:t xml:space="preserve"> marcu w wyniku waloryzacji świadczenia wzrosły o 7%.</w:t>
      </w:r>
    </w:p>
    <w:p w14:paraId="0111C207" w14:textId="018F979A" w:rsidR="00FF0BAB" w:rsidRDefault="00156D81" w:rsidP="00203D93">
      <w:pPr>
        <w:jc w:val="both"/>
      </w:pPr>
      <w:r>
        <w:t xml:space="preserve">- </w:t>
      </w:r>
      <w:r w:rsidR="0053541C" w:rsidRPr="002150FC">
        <w:rPr>
          <w:i/>
          <w:iCs/>
        </w:rPr>
        <w:t>Niestety nie oznacza to, że emeryci będą mogli pozwolić sobie na większ</w:t>
      </w:r>
      <w:r w:rsidR="003565FF">
        <w:rPr>
          <w:i/>
          <w:iCs/>
        </w:rPr>
        <w:t xml:space="preserve">ą swobodę w </w:t>
      </w:r>
      <w:r w:rsidR="0053541C" w:rsidRPr="002150FC">
        <w:rPr>
          <w:i/>
          <w:iCs/>
        </w:rPr>
        <w:t>zakup</w:t>
      </w:r>
      <w:r w:rsidR="003565FF">
        <w:rPr>
          <w:i/>
          <w:iCs/>
        </w:rPr>
        <w:t>ach</w:t>
      </w:r>
      <w:r w:rsidR="002150FC">
        <w:rPr>
          <w:i/>
          <w:iCs/>
        </w:rPr>
        <w:t>. J</w:t>
      </w:r>
      <w:r w:rsidR="0053541C" w:rsidRPr="002150FC">
        <w:rPr>
          <w:i/>
          <w:iCs/>
        </w:rPr>
        <w:t xml:space="preserve">ednocześnie według danych GUS </w:t>
      </w:r>
      <w:r w:rsidR="00CB2EE2" w:rsidRPr="002150FC">
        <w:rPr>
          <w:i/>
          <w:iCs/>
        </w:rPr>
        <w:t>ceny towarów i usług konsumpcyjnych</w:t>
      </w:r>
      <w:r w:rsidR="0053541C" w:rsidRPr="002150FC">
        <w:rPr>
          <w:i/>
          <w:iCs/>
        </w:rPr>
        <w:t xml:space="preserve"> w czerwcu</w:t>
      </w:r>
      <w:r w:rsidR="00CB2EE2" w:rsidRPr="002150FC">
        <w:rPr>
          <w:i/>
          <w:iCs/>
        </w:rPr>
        <w:t xml:space="preserve"> 2022 r. były o 15,5% wyższe niż rok wcześniej.</w:t>
      </w:r>
      <w:r w:rsidR="0053541C" w:rsidRPr="002150FC">
        <w:rPr>
          <w:i/>
          <w:iCs/>
        </w:rPr>
        <w:t xml:space="preserve"> Co ważne na wysokość</w:t>
      </w:r>
      <w:r w:rsidR="00CB2EE2" w:rsidRPr="002150FC">
        <w:rPr>
          <w:i/>
          <w:iCs/>
        </w:rPr>
        <w:t xml:space="preserve"> tego wskaźnika </w:t>
      </w:r>
      <w:r w:rsidR="0053541C" w:rsidRPr="002150FC">
        <w:rPr>
          <w:i/>
          <w:iCs/>
        </w:rPr>
        <w:t>miały wpływ kategorie dóbr</w:t>
      </w:r>
      <w:r w:rsidR="00CB2EE2" w:rsidRPr="002150FC">
        <w:rPr>
          <w:i/>
          <w:iCs/>
        </w:rPr>
        <w:t xml:space="preserve"> o istotnym znaczeniu</w:t>
      </w:r>
      <w:r w:rsidR="0053541C" w:rsidRPr="002150FC">
        <w:rPr>
          <w:i/>
          <w:iCs/>
        </w:rPr>
        <w:t xml:space="preserve"> w koszyku wydatków emerytów. O</w:t>
      </w:r>
      <w:r w:rsidR="00CB2EE2" w:rsidRPr="002150FC">
        <w:rPr>
          <w:i/>
          <w:iCs/>
        </w:rPr>
        <w:t xml:space="preserve"> 24% wzrosły koszty związane z użytkowaniem mieszkania lub domu oraz </w:t>
      </w:r>
      <w:r w:rsidR="00D0005A">
        <w:rPr>
          <w:i/>
          <w:iCs/>
        </w:rPr>
        <w:t>korzystaniem</w:t>
      </w:r>
      <w:r w:rsidR="00CB2EE2" w:rsidRPr="002150FC">
        <w:rPr>
          <w:i/>
          <w:iCs/>
        </w:rPr>
        <w:t xml:space="preserve"> energii elektrycznej. Żywność i napoje bezalkoholowe </w:t>
      </w:r>
      <w:r w:rsidR="002150FC" w:rsidRPr="002150FC">
        <w:rPr>
          <w:i/>
          <w:iCs/>
        </w:rPr>
        <w:t xml:space="preserve">są droższe o 14%. Wydatki związane ze zdrowiem był o </w:t>
      </w:r>
      <w:r w:rsidR="003565FF">
        <w:rPr>
          <w:i/>
          <w:iCs/>
        </w:rPr>
        <w:t>blisko 8%</w:t>
      </w:r>
      <w:r w:rsidR="002150FC" w:rsidRPr="002150FC">
        <w:rPr>
          <w:i/>
          <w:iCs/>
        </w:rPr>
        <w:t xml:space="preserve"> wyższe</w:t>
      </w:r>
      <w:r w:rsidR="002150FC">
        <w:t xml:space="preserve"> – wylicza Edyta Szymczak, prezes ERIF Biuro Informacji Gospodarczej.</w:t>
      </w:r>
    </w:p>
    <w:p w14:paraId="50E3127C" w14:textId="5FE220D0" w:rsidR="00156D81" w:rsidRDefault="002150FC" w:rsidP="00203D93">
      <w:pPr>
        <w:jc w:val="both"/>
      </w:pPr>
      <w:r>
        <w:t xml:space="preserve"> </w:t>
      </w:r>
    </w:p>
    <w:p w14:paraId="30729A50" w14:textId="72985174" w:rsidR="005C69E4" w:rsidRPr="00A030D4" w:rsidRDefault="00235D38" w:rsidP="00192B17">
      <w:pPr>
        <w:jc w:val="both"/>
        <w:rPr>
          <w:b/>
          <w:bCs/>
        </w:rPr>
      </w:pPr>
      <w:r>
        <w:rPr>
          <w:b/>
          <w:bCs/>
        </w:rPr>
        <w:t xml:space="preserve">O dodatek mieszkaniowy warto wystąpić w sierpniu </w:t>
      </w:r>
    </w:p>
    <w:p w14:paraId="4C9C3C01" w14:textId="7FE937E0" w:rsidR="00500F0A" w:rsidRPr="007D737A" w:rsidRDefault="00192B17" w:rsidP="00192B17">
      <w:pPr>
        <w:jc w:val="both"/>
      </w:pPr>
      <w:r>
        <w:t>Co zrobić w sytuacji</w:t>
      </w:r>
      <w:r w:rsidR="003565FF">
        <w:t>,</w:t>
      </w:r>
      <w:r>
        <w:t xml:space="preserve"> g</w:t>
      </w:r>
      <w:r w:rsidR="003565FF">
        <w:t>d</w:t>
      </w:r>
      <w:r>
        <w:t xml:space="preserve">y emerycki budżet </w:t>
      </w:r>
      <w:r w:rsidR="0055793F">
        <w:t xml:space="preserve">się </w:t>
      </w:r>
      <w:r>
        <w:t>nie dopina? Warto poszukać możliwości uzyskania różnego rodzaju dodatków i dopłat</w:t>
      </w:r>
      <w:r w:rsidR="007F65FC">
        <w:t xml:space="preserve"> wypłacanych np. przez samorząd</w:t>
      </w:r>
      <w:r w:rsidR="0055793F">
        <w:t>y</w:t>
      </w:r>
      <w:r>
        <w:t xml:space="preserve">. Na przykład warto złożyć wniosek o dodatek mieszkaniowy. Do jego uzyskania </w:t>
      </w:r>
      <w:r w:rsidR="00C23D2A">
        <w:t>uprawnione są</w:t>
      </w:r>
      <w:r>
        <w:t xml:space="preserve"> </w:t>
      </w:r>
      <w:r w:rsidR="00C23D2A">
        <w:t xml:space="preserve">m.in. </w:t>
      </w:r>
      <w:r>
        <w:t xml:space="preserve">osoby, których średni miesięczny dochód </w:t>
      </w:r>
      <w:r w:rsidR="001B655B">
        <w:t xml:space="preserve">na jedną osobę w gospodarstwie domowym </w:t>
      </w:r>
      <w:r>
        <w:t>z 3 miesięcy przed złożeniem wniosku jest równy albo niższy</w:t>
      </w:r>
      <w:r w:rsidR="005F4F32">
        <w:t xml:space="preserve"> niż </w:t>
      </w:r>
      <w:r w:rsidR="002E26AE">
        <w:t>40%</w:t>
      </w:r>
      <w:r w:rsidR="005F4F32">
        <w:t xml:space="preserve"> </w:t>
      </w:r>
      <w:r w:rsidR="001B655B">
        <w:t xml:space="preserve"> przeciętnego wynagrodzenia w gospodarce narodowej</w:t>
      </w:r>
      <w:r>
        <w:t xml:space="preserve">. </w:t>
      </w:r>
      <w:r w:rsidR="005F4F32">
        <w:t xml:space="preserve">Obecnie będzie to więc </w:t>
      </w:r>
      <w:r w:rsidR="005D5C3B">
        <w:rPr>
          <w:rFonts w:ascii="Calibri" w:eastAsia="Times New Roman" w:hAnsi="Calibri" w:cs="Calibri"/>
          <w:color w:val="000000"/>
        </w:rPr>
        <w:t>nieco ponad 2</w:t>
      </w:r>
      <w:r w:rsidR="00FF0BAB">
        <w:rPr>
          <w:rFonts w:ascii="Calibri" w:eastAsia="Times New Roman" w:hAnsi="Calibri" w:cs="Calibri"/>
          <w:color w:val="000000"/>
        </w:rPr>
        <w:t xml:space="preserve"> </w:t>
      </w:r>
      <w:r w:rsidR="005D5C3B">
        <w:rPr>
          <w:rFonts w:ascii="Calibri" w:eastAsia="Times New Roman" w:hAnsi="Calibri" w:cs="Calibri"/>
          <w:color w:val="000000"/>
        </w:rPr>
        <w:t>265</w:t>
      </w:r>
      <w:r w:rsidR="005F4F32">
        <w:rPr>
          <w:rFonts w:ascii="Calibri" w:eastAsia="Times New Roman" w:hAnsi="Calibri" w:cs="Calibri"/>
          <w:color w:val="000000"/>
        </w:rPr>
        <w:t xml:space="preserve"> zł. </w:t>
      </w:r>
      <w:r w:rsidR="004232B4">
        <w:rPr>
          <w:rFonts w:ascii="Calibri" w:eastAsia="Times New Roman" w:hAnsi="Calibri" w:cs="Calibri"/>
          <w:color w:val="000000"/>
        </w:rPr>
        <w:t xml:space="preserve">W przypadku gospodarstw wieloosobowych wskaźnik ten wynosi 30%, co daje wartość </w:t>
      </w:r>
      <w:r w:rsidR="004232B4" w:rsidRPr="004232B4">
        <w:rPr>
          <w:rStyle w:val="Strong"/>
          <w:b w:val="0"/>
          <w:bCs w:val="0"/>
        </w:rPr>
        <w:t>1</w:t>
      </w:r>
      <w:r w:rsidR="00ED12A4">
        <w:rPr>
          <w:rStyle w:val="Strong"/>
          <w:b w:val="0"/>
          <w:bCs w:val="0"/>
        </w:rPr>
        <w:t xml:space="preserve"> </w:t>
      </w:r>
      <w:r w:rsidR="004232B4" w:rsidRPr="004232B4">
        <w:rPr>
          <w:rStyle w:val="Strong"/>
          <w:b w:val="0"/>
          <w:bCs w:val="0"/>
        </w:rPr>
        <w:t xml:space="preserve">698,76 zł. </w:t>
      </w:r>
      <w:r w:rsidR="004E433D">
        <w:rPr>
          <w:rFonts w:ascii="Calibri" w:eastAsia="Times New Roman" w:hAnsi="Calibri" w:cs="Calibri"/>
          <w:color w:val="000000"/>
        </w:rPr>
        <w:t xml:space="preserve">Przyznanie dodatku i jego wysokość zależy </w:t>
      </w:r>
      <w:r w:rsidR="009B26C7">
        <w:rPr>
          <w:rFonts w:ascii="Calibri" w:eastAsia="Times New Roman" w:hAnsi="Calibri" w:cs="Calibri"/>
          <w:color w:val="000000"/>
        </w:rPr>
        <w:t xml:space="preserve">od wielu elementów m.in. od </w:t>
      </w:r>
      <w:r w:rsidR="004E433D">
        <w:rPr>
          <w:rFonts w:ascii="Calibri" w:eastAsia="Times New Roman" w:hAnsi="Calibri" w:cs="Calibri"/>
          <w:color w:val="000000"/>
        </w:rPr>
        <w:t>wielkości mieszkania</w:t>
      </w:r>
      <w:r w:rsidR="00C23D2A">
        <w:rPr>
          <w:rFonts w:ascii="Calibri" w:eastAsia="Times New Roman" w:hAnsi="Calibri" w:cs="Calibri"/>
          <w:color w:val="000000"/>
        </w:rPr>
        <w:t>,</w:t>
      </w:r>
      <w:r w:rsidR="009B26C7">
        <w:rPr>
          <w:rFonts w:ascii="Calibri" w:eastAsia="Times New Roman" w:hAnsi="Calibri" w:cs="Calibri"/>
          <w:color w:val="000000"/>
        </w:rPr>
        <w:t xml:space="preserve"> wysokości czynszu</w:t>
      </w:r>
      <w:r w:rsidR="00C23D2A">
        <w:rPr>
          <w:rFonts w:ascii="Calibri" w:eastAsia="Times New Roman" w:hAnsi="Calibri" w:cs="Calibri"/>
          <w:color w:val="000000"/>
        </w:rPr>
        <w:t xml:space="preserve"> i liczby osób w gospodarstwie domowym</w:t>
      </w:r>
      <w:r w:rsidR="00ED12A4">
        <w:rPr>
          <w:rFonts w:ascii="Calibri" w:eastAsia="Times New Roman" w:hAnsi="Calibri" w:cs="Calibri"/>
          <w:color w:val="000000"/>
        </w:rPr>
        <w:t xml:space="preserve">, </w:t>
      </w:r>
      <w:r w:rsidR="00500F0A">
        <w:t xml:space="preserve">ale w 2019 r. </w:t>
      </w:r>
      <w:r w:rsidR="007F65FC">
        <w:t>jego wysokość</w:t>
      </w:r>
      <w:r w:rsidR="00500F0A">
        <w:t xml:space="preserve"> przekroczyła 200 zł. </w:t>
      </w:r>
      <w:r w:rsidR="007F65FC">
        <w:t>J</w:t>
      </w:r>
      <w:r w:rsidR="00500F0A">
        <w:t xml:space="preserve">est on </w:t>
      </w:r>
      <w:r w:rsidR="007F65FC">
        <w:t>wypłacany</w:t>
      </w:r>
      <w:r w:rsidR="00C23D2A">
        <w:t xml:space="preserve"> na konto podmiotu pobierającego czynsz np. spółdzielni,</w:t>
      </w:r>
      <w:r w:rsidR="007F65FC">
        <w:t xml:space="preserve"> co miesiąc, przez </w:t>
      </w:r>
      <w:r w:rsidR="00500F0A">
        <w:t>pół roku</w:t>
      </w:r>
      <w:r w:rsidR="007F65FC">
        <w:t xml:space="preserve"> i potem trzeba pono</w:t>
      </w:r>
      <w:r w:rsidR="003565FF">
        <w:t>w</w:t>
      </w:r>
      <w:r w:rsidR="007F65FC">
        <w:t>ić całą procedurę. Ł</w:t>
      </w:r>
      <w:r w:rsidR="005C69E4">
        <w:t>atwo policzyć, że</w:t>
      </w:r>
      <w:r w:rsidR="007F65FC">
        <w:t xml:space="preserve"> w skali roku </w:t>
      </w:r>
      <w:r w:rsidR="005C69E4">
        <w:t xml:space="preserve">emerycki budżet </w:t>
      </w:r>
      <w:r w:rsidR="005D7772">
        <w:t xml:space="preserve">może być odciążony </w:t>
      </w:r>
      <w:r w:rsidR="007F65FC">
        <w:t xml:space="preserve">nawet na kwotę zbliżoną do </w:t>
      </w:r>
      <w:r w:rsidR="00EC1F0E">
        <w:t xml:space="preserve">wysokości miesięcznej emerytury. </w:t>
      </w:r>
      <w:r w:rsidR="00C23D2A" w:rsidRPr="007D737A">
        <w:t xml:space="preserve">Dodatkowym warunkiem jest regularne opłacanie czynszu. Jeśli będziemy zalegać z opłatami za mieszkanie przez co najmniej dwa miesiące, to </w:t>
      </w:r>
      <w:r w:rsidR="00B61978" w:rsidRPr="007D737A">
        <w:t>wypłata dodatku będzie wstrzymana</w:t>
      </w:r>
      <w:r w:rsidR="00C23D2A" w:rsidRPr="007D737A">
        <w:t>.</w:t>
      </w:r>
    </w:p>
    <w:p w14:paraId="1A38987F" w14:textId="54034066" w:rsidR="00473DE0" w:rsidRPr="00ED12A4" w:rsidRDefault="00473DE0" w:rsidP="00192B17">
      <w:pPr>
        <w:jc w:val="both"/>
        <w:rPr>
          <w:i/>
          <w:iCs/>
        </w:rPr>
      </w:pPr>
      <w:r>
        <w:rPr>
          <w:rStyle w:val="cf01"/>
        </w:rPr>
        <w:t xml:space="preserve">- </w:t>
      </w:r>
      <w:r w:rsidR="00C23D2A" w:rsidRPr="00ED12A4">
        <w:rPr>
          <w:i/>
          <w:iCs/>
        </w:rPr>
        <w:t xml:space="preserve">Powiązanie </w:t>
      </w:r>
      <w:r w:rsidRPr="00ED12A4">
        <w:rPr>
          <w:i/>
          <w:iCs/>
        </w:rPr>
        <w:t>z regularnością i terminowością opłat czynszu</w:t>
      </w:r>
      <w:r w:rsidR="004232B4" w:rsidRPr="00ED12A4">
        <w:rPr>
          <w:i/>
          <w:iCs/>
        </w:rPr>
        <w:t xml:space="preserve">, należy </w:t>
      </w:r>
      <w:r w:rsidRPr="00ED12A4">
        <w:rPr>
          <w:i/>
          <w:iCs/>
        </w:rPr>
        <w:t>ocenić pozytywnie</w:t>
      </w:r>
      <w:r w:rsidR="004232B4" w:rsidRPr="00ED12A4">
        <w:rPr>
          <w:i/>
          <w:iCs/>
        </w:rPr>
        <w:t>. Z</w:t>
      </w:r>
      <w:r w:rsidRPr="00ED12A4">
        <w:rPr>
          <w:i/>
          <w:iCs/>
        </w:rPr>
        <w:t xml:space="preserve"> jednej strony sprzyja unikaniu popadania w pętlę zadłużenia samych seniorów, a z drugiej wspomaga gospodarowanie środkami i płynność wspólnot czy spółdzielni</w:t>
      </w:r>
      <w:r w:rsidR="00C23D2A" w:rsidRPr="00ED12A4">
        <w:t xml:space="preserve"> </w:t>
      </w:r>
      <w:r w:rsidR="004232B4" w:rsidRPr="00ED12A4">
        <w:t>–</w:t>
      </w:r>
      <w:r w:rsidR="00C23D2A" w:rsidRPr="00ED12A4">
        <w:rPr>
          <w:i/>
          <w:iCs/>
        </w:rPr>
        <w:t xml:space="preserve"> </w:t>
      </w:r>
      <w:r w:rsidR="004232B4" w:rsidRPr="00ED12A4">
        <w:rPr>
          <w:i/>
          <w:iCs/>
        </w:rPr>
        <w:t xml:space="preserve">zwraca uwagę Edyta Szymczak. </w:t>
      </w:r>
    </w:p>
    <w:p w14:paraId="13DB4672" w14:textId="77777777" w:rsidR="00473DE0" w:rsidRPr="007F65FC" w:rsidRDefault="00473DE0" w:rsidP="00192B17">
      <w:pPr>
        <w:jc w:val="both"/>
        <w:rPr>
          <w:rFonts w:ascii="Calibri" w:eastAsia="Times New Roman" w:hAnsi="Calibri" w:cs="Calibri"/>
          <w:color w:val="000000"/>
        </w:rPr>
      </w:pPr>
    </w:p>
    <w:p w14:paraId="539E5A18" w14:textId="46244CD3" w:rsidR="00235D38" w:rsidRPr="00235D38" w:rsidRDefault="00235D38" w:rsidP="00192B17">
      <w:pPr>
        <w:jc w:val="both"/>
        <w:rPr>
          <w:b/>
          <w:bCs/>
        </w:rPr>
      </w:pPr>
      <w:r w:rsidRPr="00235D38">
        <w:rPr>
          <w:b/>
          <w:bCs/>
        </w:rPr>
        <w:t xml:space="preserve">Ostatnie miesiące na dodatek energetyczny </w:t>
      </w:r>
    </w:p>
    <w:p w14:paraId="67BA245C" w14:textId="4E2E3C5C" w:rsidR="00F7683E" w:rsidRDefault="00500F0A" w:rsidP="00192B17">
      <w:pPr>
        <w:jc w:val="both"/>
      </w:pPr>
      <w:r>
        <w:t xml:space="preserve">Warto pofatygować się do urzędu miasta lub gminy, ewentualnie ośrodka pomocy społecznej i pobrać odpowiedni wniosek. </w:t>
      </w:r>
      <w:r w:rsidR="00A030D4">
        <w:t xml:space="preserve">Można tam też dostać informację o innych podobnych dodatkach. Na przykład </w:t>
      </w:r>
      <w:r w:rsidR="00A030D4">
        <w:lastRenderedPageBreak/>
        <w:t xml:space="preserve">osoby, które spełniają kryteria dotyczące dodatku mieszkaniowego, najprawdopodobniej będą też uprawnione do otrzymania </w:t>
      </w:r>
      <w:r w:rsidR="00F7683E">
        <w:t>tzw. dodatku osłonowego</w:t>
      </w:r>
      <w:r w:rsidR="003B67A7">
        <w:t xml:space="preserve"> z tytułu wzrostu cen energii</w:t>
      </w:r>
      <w:r w:rsidR="00F7683E">
        <w:t xml:space="preserve">. </w:t>
      </w:r>
      <w:r w:rsidR="007E2F73">
        <w:t>S</w:t>
      </w:r>
      <w:r w:rsidR="00472623">
        <w:t>amotnie mieszkający emeryt, z dochodami nieprzekraczającymi 2100 zł</w:t>
      </w:r>
      <w:r w:rsidR="00F7683E">
        <w:t xml:space="preserve">, będzie mógł liczyć na dodatkowe środki w wysokości </w:t>
      </w:r>
      <w:r w:rsidR="00472623">
        <w:t xml:space="preserve">od 400 do 500 zł. </w:t>
      </w:r>
      <w:r w:rsidR="00372747">
        <w:t xml:space="preserve">Jeśli mieszka w gospodarstwie domowym liczącym sześć i więcej osób, a dochód na osobę nie przekroczy 1500 zł, dodatek wynosi od 1150 do 1437,50 zł. </w:t>
      </w:r>
      <w:r w:rsidR="00F7683E">
        <w:t>Wnioski są przyjmowane od początku tego roku, ale można je składać do końca października 2022</w:t>
      </w:r>
      <w:r w:rsidR="00ED12A4">
        <w:t xml:space="preserve"> r</w:t>
      </w:r>
      <w:r w:rsidR="00F7683E">
        <w:t xml:space="preserve">. Wówczas środki powinny trafić na konto uprawnionego </w:t>
      </w:r>
      <w:r w:rsidR="00372747">
        <w:t>do 2 grudnia.</w:t>
      </w:r>
    </w:p>
    <w:p w14:paraId="3882A792" w14:textId="77777777" w:rsidR="00FF0BAB" w:rsidRDefault="00FF0BAB" w:rsidP="00192B17">
      <w:pPr>
        <w:jc w:val="both"/>
        <w:rPr>
          <w:b/>
          <w:bCs/>
        </w:rPr>
      </w:pPr>
    </w:p>
    <w:p w14:paraId="1F42010A" w14:textId="2BB777FB" w:rsidR="00235D38" w:rsidRPr="00235D38" w:rsidRDefault="00235D38" w:rsidP="00192B17">
      <w:pPr>
        <w:jc w:val="both"/>
        <w:rPr>
          <w:b/>
          <w:bCs/>
        </w:rPr>
      </w:pPr>
      <w:r w:rsidRPr="00235D38">
        <w:rPr>
          <w:b/>
          <w:bCs/>
        </w:rPr>
        <w:t>Koszty odsetek coraz wyższe</w:t>
      </w:r>
    </w:p>
    <w:p w14:paraId="6C01629A" w14:textId="422642B5" w:rsidR="007E2F73" w:rsidRDefault="007E2F73" w:rsidP="00192B17">
      <w:pPr>
        <w:jc w:val="both"/>
      </w:pPr>
      <w:r w:rsidRPr="00FF0BAB">
        <w:rPr>
          <w:i/>
          <w:iCs/>
        </w:rPr>
        <w:t xml:space="preserve">- </w:t>
      </w:r>
      <w:r w:rsidR="00FF0BAB" w:rsidRPr="00C11545">
        <w:rPr>
          <w:i/>
          <w:iCs/>
        </w:rPr>
        <w:t xml:space="preserve">Warto rozważyć </w:t>
      </w:r>
      <w:r w:rsidRPr="00C11545">
        <w:rPr>
          <w:i/>
          <w:iCs/>
        </w:rPr>
        <w:t>korzysta</w:t>
      </w:r>
      <w:r w:rsidR="00FF0BAB" w:rsidRPr="00C11545">
        <w:rPr>
          <w:i/>
          <w:iCs/>
        </w:rPr>
        <w:t>nie</w:t>
      </w:r>
      <w:r w:rsidRPr="00C11545">
        <w:rPr>
          <w:i/>
          <w:iCs/>
        </w:rPr>
        <w:t xml:space="preserve"> z różnych dopłat, </w:t>
      </w:r>
      <w:r w:rsidR="00FF0BAB" w:rsidRPr="00C11545">
        <w:rPr>
          <w:i/>
          <w:iCs/>
        </w:rPr>
        <w:t>a</w:t>
      </w:r>
      <w:r w:rsidRPr="00C11545">
        <w:rPr>
          <w:i/>
          <w:iCs/>
        </w:rPr>
        <w:t>by nie dopuścić do powstania zaległości w opłacie czynszu, rachunków za energię czy innych. Pamiętajmy, że wraz ze wzrostem stóp procentowych, wzrosły też wysokości odsetek od zadłużenia, których może żądać wierzyciel</w:t>
      </w:r>
      <w:r w:rsidRPr="00C11545">
        <w:t xml:space="preserve"> – </w:t>
      </w:r>
      <w:r w:rsidR="00FF0BAB" w:rsidRPr="00C11545">
        <w:t>podkreśla</w:t>
      </w:r>
      <w:r w:rsidRPr="00C11545">
        <w:t xml:space="preserve"> Edyta S</w:t>
      </w:r>
      <w:r>
        <w:t>zymczak.</w:t>
      </w:r>
    </w:p>
    <w:p w14:paraId="74DE8B1A" w14:textId="0E62D099" w:rsidR="00461E86" w:rsidRDefault="00831655" w:rsidP="00192B17">
      <w:pPr>
        <w:jc w:val="both"/>
      </w:pPr>
      <w:r>
        <w:t xml:space="preserve">Na przykład </w:t>
      </w:r>
      <w:r w:rsidR="00892725">
        <w:t xml:space="preserve">od zaległości w płatnościach w okresie od 29 maja 2020 r. do 6 października 2021 r. można było </w:t>
      </w:r>
      <w:r>
        <w:t>żądać 5,6% odsetek</w:t>
      </w:r>
      <w:r w:rsidR="00284858">
        <w:t xml:space="preserve"> ustawowych</w:t>
      </w:r>
      <w:r>
        <w:t xml:space="preserve">. Obecnie, od 8 lipca, po kolejnej podwyżce stóp procentowych przez NBP, to już 12%. </w:t>
      </w:r>
      <w:r w:rsidR="00100B7A">
        <w:t xml:space="preserve">Dla wielu emerytów to poważny problem, bo z danych ERIF Biuro Informacji Gospodarczej wynika, że średnie </w:t>
      </w:r>
      <w:r w:rsidR="00527F02">
        <w:t xml:space="preserve">tzw. </w:t>
      </w:r>
      <w:r w:rsidR="00100B7A">
        <w:t xml:space="preserve">zobowiązanie negatywne płatnika w wieku 65 i więcej lat, to po pierwszej połowie 2022 r. </w:t>
      </w:r>
      <w:r w:rsidR="00284858">
        <w:t xml:space="preserve">już </w:t>
      </w:r>
      <w:r w:rsidR="00100B7A">
        <w:t>prawie 12,5 tys. zł.</w:t>
      </w:r>
      <w:r w:rsidR="007869E7">
        <w:t xml:space="preserve"> To znaczy, że na tyle opiewają niespłacone</w:t>
      </w:r>
      <w:r w:rsidR="00BB5AF7">
        <w:t xml:space="preserve"> w terminie</w:t>
      </w:r>
      <w:r w:rsidR="007869E7">
        <w:t xml:space="preserve"> raty pożyczek i</w:t>
      </w:r>
      <w:r w:rsidR="00BB5AF7">
        <w:t xml:space="preserve"> kredytów lub przeterminowane rachunki za różne usługi.</w:t>
      </w:r>
      <w:r w:rsidR="007869E7">
        <w:t xml:space="preserve"> </w:t>
      </w:r>
      <w:r w:rsidR="00100B7A">
        <w:t xml:space="preserve"> </w:t>
      </w:r>
      <w:r w:rsidR="00892725">
        <w:t>Jak to się przekłada na konkretne kwoty?</w:t>
      </w:r>
      <w:r w:rsidR="00D3423E">
        <w:t xml:space="preserve"> Dla uproszczenia przyjmijmy, że</w:t>
      </w:r>
      <w:r w:rsidR="00100B7A">
        <w:t xml:space="preserve"> </w:t>
      </w:r>
      <w:r w:rsidR="00D3423E">
        <w:t xml:space="preserve">takie zobowiązanie </w:t>
      </w:r>
      <w:r w:rsidR="009E756C">
        <w:t xml:space="preserve">stało się wymagalne </w:t>
      </w:r>
      <w:r w:rsidR="00D3423E">
        <w:t>z początkiem stycznia 2021</w:t>
      </w:r>
      <w:r w:rsidR="00461E86">
        <w:t xml:space="preserve"> i zostało spłacone </w:t>
      </w:r>
      <w:r w:rsidR="00D3423E">
        <w:t>po pół roku, czyli z końcem czerwca.</w:t>
      </w:r>
      <w:r w:rsidR="00461E86">
        <w:t xml:space="preserve"> Wówczas naliczone odsetk</w:t>
      </w:r>
      <w:r w:rsidR="0055793F">
        <w:t>i</w:t>
      </w:r>
      <w:r w:rsidR="00461E86">
        <w:t xml:space="preserve"> ustawowe wynios</w:t>
      </w:r>
      <w:r w:rsidR="00B90B41">
        <w:t>łyby</w:t>
      </w:r>
      <w:r w:rsidR="009E756C">
        <w:t xml:space="preserve"> około 340 zł</w:t>
      </w:r>
      <w:r w:rsidR="00461E86">
        <w:t>.</w:t>
      </w:r>
      <w:r w:rsidR="00D3423E">
        <w:t xml:space="preserve"> </w:t>
      </w:r>
      <w:r w:rsidR="00100B7A">
        <w:t xml:space="preserve">Jeśli </w:t>
      </w:r>
      <w:r w:rsidR="00461E86">
        <w:t>policzymy je obecnie, to za</w:t>
      </w:r>
      <w:r w:rsidR="00100B7A">
        <w:t xml:space="preserve"> pół roku</w:t>
      </w:r>
      <w:r w:rsidR="00461E86">
        <w:t>,</w:t>
      </w:r>
      <w:r w:rsidR="00100B7A">
        <w:t xml:space="preserve"> licząc od początku lipca</w:t>
      </w:r>
      <w:r w:rsidR="00182020">
        <w:t>,</w:t>
      </w:r>
      <w:r w:rsidR="00100B7A">
        <w:t xml:space="preserve"> </w:t>
      </w:r>
      <w:r w:rsidR="00461E86">
        <w:t>do końca</w:t>
      </w:r>
      <w:r w:rsidR="00B90B41">
        <w:t xml:space="preserve"> grudnia</w:t>
      </w:r>
      <w:r w:rsidR="00461E86">
        <w:t xml:space="preserve"> </w:t>
      </w:r>
      <w:r w:rsidR="00100B7A">
        <w:t>2022 r. wyjdzie</w:t>
      </w:r>
      <w:r w:rsidR="00D3423E">
        <w:t xml:space="preserve"> około </w:t>
      </w:r>
      <w:r w:rsidR="00CA6E40">
        <w:t xml:space="preserve">750 zł </w:t>
      </w:r>
      <w:r w:rsidR="00D3423E">
        <w:t>odsetek.</w:t>
      </w:r>
    </w:p>
    <w:p w14:paraId="15DA1BF5" w14:textId="77777777" w:rsidR="00A94E93" w:rsidRDefault="00A94E93" w:rsidP="00192B17">
      <w:pPr>
        <w:jc w:val="both"/>
        <w:rPr>
          <w:b/>
          <w:bCs/>
        </w:rPr>
      </w:pPr>
    </w:p>
    <w:p w14:paraId="5FF3A7CD" w14:textId="6E9CF118" w:rsidR="0065196B" w:rsidRPr="0065196B" w:rsidRDefault="0065196B" w:rsidP="00192B17">
      <w:pPr>
        <w:jc w:val="both"/>
        <w:rPr>
          <w:b/>
          <w:bCs/>
        </w:rPr>
      </w:pPr>
      <w:r w:rsidRPr="0065196B">
        <w:rPr>
          <w:b/>
          <w:bCs/>
        </w:rPr>
        <w:t xml:space="preserve">Królują pożyczki, kredyty i multimedia </w:t>
      </w:r>
    </w:p>
    <w:p w14:paraId="51BA1690" w14:textId="614F00C2" w:rsidR="00100B7A" w:rsidRDefault="00EC1F0E" w:rsidP="00192B17">
      <w:pPr>
        <w:jc w:val="both"/>
      </w:pPr>
      <w:r>
        <w:t xml:space="preserve">Z czego wynikają niezapłacone w terminie zobowiązania, które skutkują tzw. wpisem negatywnym do bazy biura informacji gospodarczej? </w:t>
      </w:r>
      <w:r w:rsidR="007869E7">
        <w:t>Dane ERIF BIG pokazują, że</w:t>
      </w:r>
      <w:r w:rsidR="001C1C75">
        <w:t xml:space="preserve"> w segmencie</w:t>
      </w:r>
      <w:r w:rsidR="007869E7">
        <w:t xml:space="preserve"> konsumentów</w:t>
      </w:r>
      <w:r w:rsidR="001C1C75">
        <w:t xml:space="preserve"> powyżej</w:t>
      </w:r>
      <w:r w:rsidR="007869E7">
        <w:t xml:space="preserve"> </w:t>
      </w:r>
      <w:r w:rsidR="00BB5AF7">
        <w:t xml:space="preserve">65 roku życia, </w:t>
      </w:r>
      <w:r w:rsidR="001C1C75">
        <w:t xml:space="preserve">69% negatywnych wpisów wynika </w:t>
      </w:r>
      <w:r w:rsidR="00BB5AF7">
        <w:t xml:space="preserve">z różnego rodzaju pożyczek i kredytów. Przy czym na tę wartość składają się w większej mierze zobowiązania wobec firm pożyczkowych (43%) niż banków (26%). Kolejne 26% to zobowiązania wobec tzw. branży multimedialnej. W tej kategorii mieszczą się nie tylko zaległe rachunki za telefon czy telewizję, ale też umowy </w:t>
      </w:r>
      <w:r w:rsidR="00423D0F">
        <w:t xml:space="preserve">zakupu towaru na raty. </w:t>
      </w:r>
    </w:p>
    <w:p w14:paraId="22CCEA36" w14:textId="306410F4" w:rsidR="00F7683E" w:rsidRDefault="00423D0F" w:rsidP="00192B17">
      <w:pPr>
        <w:jc w:val="both"/>
      </w:pPr>
      <w:r>
        <w:t xml:space="preserve">Co ciekawe, struktura takich zobowiązań </w:t>
      </w:r>
      <w:r w:rsidR="0065196B">
        <w:t xml:space="preserve">osób w wieku powyżej 65 roku życia </w:t>
      </w:r>
      <w:r>
        <w:t>różni się w zależności od miejsca zamieszkania. Na przykład</w:t>
      </w:r>
      <w:r w:rsidR="001C1C75">
        <w:t xml:space="preserve"> w województwie podlaskim </w:t>
      </w:r>
      <w:r w:rsidR="000254F4">
        <w:t xml:space="preserve">42% </w:t>
      </w:r>
      <w:r w:rsidR="0065196B">
        <w:t>wpis</w:t>
      </w:r>
      <w:r w:rsidR="0055793F">
        <w:t>ów</w:t>
      </w:r>
      <w:r w:rsidR="0065196B">
        <w:t xml:space="preserve"> negatywnych dotyczyło pożyczek</w:t>
      </w:r>
      <w:r w:rsidR="00BD5E62">
        <w:t>, to najniższy wskaźnik w Polsce</w:t>
      </w:r>
      <w:r w:rsidR="001C1C75">
        <w:t xml:space="preserve">. Na drugim biegunie znaleźli się mieszkańcy województwa śląskiego, dla których ten wskaźnik wyniósł 52%. </w:t>
      </w:r>
      <w:r w:rsidR="000254F4">
        <w:t xml:space="preserve">W segmencie wpisów dotyczących branży bankowej rozpiętości są mniejsze. Na przykład najmniejszy odsetek wpisów negatywnych z branży bankowej jest w województwie podkarpackim (19%), a największy (24%) w województwach: łódzkim, śląskim i świętokrzyskim. </w:t>
      </w:r>
      <w:r w:rsidR="00780FF2">
        <w:t xml:space="preserve">Najstarsi mieszkańcy tego ostatniego województwa mają </w:t>
      </w:r>
      <w:r w:rsidR="0065196B">
        <w:t>z kolei</w:t>
      </w:r>
      <w:r w:rsidR="00780FF2">
        <w:t xml:space="preserve"> najmniejszy w Polsce odsetek wpisów negatywnych w segmencie „multimedia” – 22%. </w:t>
      </w:r>
      <w:r w:rsidR="0065196B">
        <w:t>N</w:t>
      </w:r>
      <w:r w:rsidR="00780FF2">
        <w:t xml:space="preserve">ajwyższy jest w województwie dolnośląskim – 33%. </w:t>
      </w:r>
    </w:p>
    <w:p w14:paraId="15E688A5" w14:textId="2DEA6710" w:rsidR="00624837" w:rsidRDefault="00624837" w:rsidP="007D6F51"/>
    <w:sectPr w:rsidR="006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54E4" w14:textId="77777777" w:rsidR="009B1BE0" w:rsidRDefault="009B1BE0" w:rsidP="00966255">
      <w:r>
        <w:separator/>
      </w:r>
    </w:p>
  </w:endnote>
  <w:endnote w:type="continuationSeparator" w:id="0">
    <w:p w14:paraId="20E6F9DE" w14:textId="77777777" w:rsidR="009B1BE0" w:rsidRDefault="009B1BE0" w:rsidP="0096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3A6E" w14:textId="77777777" w:rsidR="009B1BE0" w:rsidRDefault="009B1BE0" w:rsidP="00966255">
      <w:r>
        <w:separator/>
      </w:r>
    </w:p>
  </w:footnote>
  <w:footnote w:type="continuationSeparator" w:id="0">
    <w:p w14:paraId="1239D5F1" w14:textId="77777777" w:rsidR="009B1BE0" w:rsidRDefault="009B1BE0" w:rsidP="0096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AB7"/>
    <w:multiLevelType w:val="hybridMultilevel"/>
    <w:tmpl w:val="B382F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F4560"/>
    <w:multiLevelType w:val="multilevel"/>
    <w:tmpl w:val="5D6E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MDcxMrc0NDMzNjdR0lEKTi0uzszPAykwrQUAZLvuhCwAAAA="/>
  </w:docVars>
  <w:rsids>
    <w:rsidRoot w:val="00314A9A"/>
    <w:rsid w:val="00017AE8"/>
    <w:rsid w:val="000254F4"/>
    <w:rsid w:val="000502AE"/>
    <w:rsid w:val="00100B7A"/>
    <w:rsid w:val="001442D5"/>
    <w:rsid w:val="00156D81"/>
    <w:rsid w:val="001749BB"/>
    <w:rsid w:val="001810CF"/>
    <w:rsid w:val="00182020"/>
    <w:rsid w:val="00192B17"/>
    <w:rsid w:val="001A7C58"/>
    <w:rsid w:val="001B655B"/>
    <w:rsid w:val="001C0167"/>
    <w:rsid w:val="001C1C75"/>
    <w:rsid w:val="001D2AFE"/>
    <w:rsid w:val="001F7D92"/>
    <w:rsid w:val="00203D93"/>
    <w:rsid w:val="002150FC"/>
    <w:rsid w:val="00235D38"/>
    <w:rsid w:val="00284858"/>
    <w:rsid w:val="002D1F5D"/>
    <w:rsid w:val="002E26AE"/>
    <w:rsid w:val="0030194E"/>
    <w:rsid w:val="00314A9A"/>
    <w:rsid w:val="003565FF"/>
    <w:rsid w:val="00372747"/>
    <w:rsid w:val="003B67A7"/>
    <w:rsid w:val="004232B4"/>
    <w:rsid w:val="00423D0F"/>
    <w:rsid w:val="00461E86"/>
    <w:rsid w:val="00462710"/>
    <w:rsid w:val="00472623"/>
    <w:rsid w:val="00473DE0"/>
    <w:rsid w:val="004E433D"/>
    <w:rsid w:val="00500F0A"/>
    <w:rsid w:val="00501C1C"/>
    <w:rsid w:val="00527F02"/>
    <w:rsid w:val="0053541C"/>
    <w:rsid w:val="0055793F"/>
    <w:rsid w:val="005C69E4"/>
    <w:rsid w:val="005D5C3B"/>
    <w:rsid w:val="005D7772"/>
    <w:rsid w:val="005F4F32"/>
    <w:rsid w:val="005F763D"/>
    <w:rsid w:val="00624837"/>
    <w:rsid w:val="00637B69"/>
    <w:rsid w:val="0065196B"/>
    <w:rsid w:val="006B097C"/>
    <w:rsid w:val="00731211"/>
    <w:rsid w:val="00780FF2"/>
    <w:rsid w:val="0078363F"/>
    <w:rsid w:val="007869E7"/>
    <w:rsid w:val="007B253D"/>
    <w:rsid w:val="007C48D2"/>
    <w:rsid w:val="007D6F51"/>
    <w:rsid w:val="007D737A"/>
    <w:rsid w:val="007E2F73"/>
    <w:rsid w:val="007E45A8"/>
    <w:rsid w:val="007F65FC"/>
    <w:rsid w:val="00827341"/>
    <w:rsid w:val="00831655"/>
    <w:rsid w:val="00892725"/>
    <w:rsid w:val="008B2354"/>
    <w:rsid w:val="008B4E93"/>
    <w:rsid w:val="008D255C"/>
    <w:rsid w:val="00943130"/>
    <w:rsid w:val="00966255"/>
    <w:rsid w:val="009B1BE0"/>
    <w:rsid w:val="009B26C7"/>
    <w:rsid w:val="009C0657"/>
    <w:rsid w:val="009E756C"/>
    <w:rsid w:val="00A030D4"/>
    <w:rsid w:val="00A94E93"/>
    <w:rsid w:val="00AB731E"/>
    <w:rsid w:val="00B12857"/>
    <w:rsid w:val="00B22542"/>
    <w:rsid w:val="00B236AF"/>
    <w:rsid w:val="00B61978"/>
    <w:rsid w:val="00B90B41"/>
    <w:rsid w:val="00BA1F0A"/>
    <w:rsid w:val="00BB3F11"/>
    <w:rsid w:val="00BB4A6B"/>
    <w:rsid w:val="00BB5AF7"/>
    <w:rsid w:val="00BD5E62"/>
    <w:rsid w:val="00C11545"/>
    <w:rsid w:val="00C23D2A"/>
    <w:rsid w:val="00C249B3"/>
    <w:rsid w:val="00C874E1"/>
    <w:rsid w:val="00CA6E40"/>
    <w:rsid w:val="00CB2EE2"/>
    <w:rsid w:val="00D0005A"/>
    <w:rsid w:val="00D3423E"/>
    <w:rsid w:val="00D5647C"/>
    <w:rsid w:val="00D71FDF"/>
    <w:rsid w:val="00E164BD"/>
    <w:rsid w:val="00E4667C"/>
    <w:rsid w:val="00E73B22"/>
    <w:rsid w:val="00E74264"/>
    <w:rsid w:val="00EB20E2"/>
    <w:rsid w:val="00EC1F0E"/>
    <w:rsid w:val="00EC22E6"/>
    <w:rsid w:val="00ED12A4"/>
    <w:rsid w:val="00F05080"/>
    <w:rsid w:val="00F262C7"/>
    <w:rsid w:val="00F37112"/>
    <w:rsid w:val="00F7683E"/>
    <w:rsid w:val="00F94BC9"/>
    <w:rsid w:val="00FC3AA2"/>
    <w:rsid w:val="00FC6EB0"/>
    <w:rsid w:val="00FE58BA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4D00"/>
  <w15:chartTrackingRefBased/>
  <w15:docId w15:val="{D2F9770D-394D-4F69-A88D-2097D90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9A"/>
    <w:pPr>
      <w:spacing w:after="0" w:line="240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14A9A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314A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F51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0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1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B41"/>
    <w:rPr>
      <w:rFonts w:eastAsiaTheme="minorEastAsia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41"/>
    <w:rPr>
      <w:rFonts w:eastAsiaTheme="minorEastAsia"/>
      <w:b/>
      <w:bCs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D77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37B69"/>
    <w:pPr>
      <w:spacing w:after="0" w:line="240" w:lineRule="auto"/>
    </w:pPr>
    <w:rPr>
      <w:rFonts w:eastAsiaTheme="minorEastAsia"/>
      <w:lang w:eastAsia="pl-PL"/>
    </w:rPr>
  </w:style>
  <w:style w:type="character" w:customStyle="1" w:styleId="cf01">
    <w:name w:val="cf01"/>
    <w:basedOn w:val="DefaultParagraphFont"/>
    <w:rsid w:val="00473DE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DDFE4F-5ADC-48E7-AE87-2D99145B8BF0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1052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3</cp:revision>
  <dcterms:created xsi:type="dcterms:W3CDTF">2022-08-01T11:18:00Z</dcterms:created>
  <dcterms:modified xsi:type="dcterms:W3CDTF">2022-08-01T11:57:00Z</dcterms:modified>
</cp:coreProperties>
</file>